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SOP-ST-003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Monthly Business Resilience Review (Patching, Backups, Security, and KPIs)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Create a lightweight monthly cadence to confirm critical controls are working, prioritize improvements, and keep leadership informed. Turn technical work into business outcomes.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Patch compliance and endpoint health</w:t>
      </w:r>
    </w:p>
    <w:p>
      <w:pPr>
        <w:pStyle w:val="ListBullet"/>
      </w:pPr>
      <w:r>
        <w:rPr>
          <w:sz w:val="20"/>
        </w:rPr>
        <w:t>Backup success and restore test status</w:t>
      </w:r>
    </w:p>
    <w:p>
      <w:pPr>
        <w:pStyle w:val="ListBullet"/>
      </w:pPr>
      <w:r>
        <w:rPr>
          <w:sz w:val="20"/>
        </w:rPr>
        <w:t>Security events and training status</w:t>
      </w:r>
    </w:p>
    <w:p>
      <w:pPr>
        <w:pStyle w:val="ListBullet"/>
      </w:pPr>
      <w:r>
        <w:rPr>
          <w:sz w:val="20"/>
        </w:rPr>
        <w:t>Operational KPIs and upcoming changes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Chairs the monthly review and approves priorities.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Provides operational feedback and downtime constraints.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Account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Presents reports and recommendations.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Security Lead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Summarizes security events and risk changes.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Monthly meeting: 30 to 45 minutes</w:t>
      </w:r>
    </w:p>
    <w:p>
      <w:pPr>
        <w:pStyle w:val="ListBullet"/>
      </w:pPr>
      <w:r>
        <w:rPr>
          <w:sz w:val="20"/>
        </w:rPr>
        <w:t>Quarterly deep-dive: 60 minutes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MSP provides a monthly dashboard: patch compliance, EDR health, backup status, and notable alerts.</w:t>
      </w:r>
    </w:p>
    <w:p>
      <w:pPr>
        <w:pStyle w:val="ListNumber"/>
      </w:pPr>
      <w:r>
        <w:rPr>
          <w:sz w:val="20"/>
        </w:rPr>
        <w:t>Review any incidents, near-misses, or vendor issues since last meeting and confirm action items.</w:t>
      </w:r>
    </w:p>
    <w:p>
      <w:pPr>
        <w:pStyle w:val="ListNumber"/>
      </w:pPr>
      <w:r>
        <w:rPr>
          <w:sz w:val="20"/>
        </w:rPr>
        <w:t>Validate backup and restore evidence; confirm next scheduled restore test date.</w:t>
      </w:r>
    </w:p>
    <w:p>
      <w:pPr>
        <w:pStyle w:val="ListNumber"/>
      </w:pPr>
      <w:r>
        <w:rPr>
          <w:sz w:val="20"/>
        </w:rPr>
        <w:t>Review access review status and any exceptions that need renewal or removal.</w:t>
      </w:r>
    </w:p>
    <w:p>
      <w:pPr>
        <w:pStyle w:val="ListNumber"/>
      </w:pPr>
      <w:r>
        <w:rPr>
          <w:sz w:val="20"/>
        </w:rPr>
        <w:t>Review upcoming changes: POS updates, network work, ISP changes, new locations, or seasonal staffing.</w:t>
      </w:r>
    </w:p>
    <w:p>
      <w:pPr>
        <w:pStyle w:val="ListNumber"/>
      </w:pPr>
      <w:r>
        <w:rPr>
          <w:sz w:val="20"/>
        </w:rPr>
        <w:t>Agree on top 3 priorities for the next month with clear owners and due dates.</w:t>
      </w:r>
    </w:p>
    <w:p>
      <w:pPr>
        <w:pStyle w:val="ListNumber"/>
      </w:pPr>
      <w:r>
        <w:rPr>
          <w:sz w:val="20"/>
        </w:rPr>
        <w:t>Document minutes and distribute to stakeholders.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Monthly Agenda</w:t>
      </w:r>
    </w:p>
    <w:p>
      <w:pPr>
        <w:pStyle w:val="ListBullet"/>
      </w:pPr>
      <w:r>
        <w:rPr>
          <w:sz w:val="20"/>
        </w:rPr>
        <w:t>Patch and endpoint health score</w:t>
      </w:r>
    </w:p>
    <w:p>
      <w:pPr>
        <w:pStyle w:val="ListBullet"/>
      </w:pPr>
      <w:r>
        <w:rPr>
          <w:sz w:val="20"/>
        </w:rPr>
        <w:t>Backup status and restore tests</w:t>
      </w:r>
    </w:p>
    <w:p>
      <w:pPr>
        <w:pStyle w:val="ListBullet"/>
      </w:pPr>
      <w:r>
        <w:rPr>
          <w:sz w:val="20"/>
        </w:rPr>
        <w:t>Security alerts and phishing reports</w:t>
      </w:r>
    </w:p>
    <w:p>
      <w:pPr>
        <w:pStyle w:val="ListBullet"/>
      </w:pPr>
      <w:r>
        <w:rPr>
          <w:sz w:val="20"/>
        </w:rPr>
        <w:t>Access changes and exceptions</w:t>
      </w:r>
    </w:p>
    <w:p>
      <w:pPr>
        <w:pStyle w:val="ListBullet"/>
      </w:pPr>
      <w:r>
        <w:rPr>
          <w:sz w:val="20"/>
        </w:rPr>
        <w:t>Upcoming changes and seasonal impacts</w:t>
      </w:r>
    </w:p>
    <w:p>
      <w:pPr>
        <w:pStyle w:val="ListBullet"/>
      </w:pPr>
      <w:r>
        <w:rPr>
          <w:sz w:val="20"/>
        </w:rPr>
        <w:t>Top 3 priorities and action items</w:t>
      </w:r>
    </w:p>
    <w:p>
      <w:r>
        <w:rPr>
          <w:b/>
          <w:sz w:val="20"/>
        </w:rPr>
        <w:t>Quarterly Deep Dive</w:t>
      </w:r>
    </w:p>
    <w:p>
      <w:pPr>
        <w:pStyle w:val="ListBullet"/>
      </w:pPr>
      <w:r>
        <w:rPr>
          <w:sz w:val="20"/>
        </w:rPr>
        <w:t>Segmentation and firewall rule review</w:t>
      </w:r>
    </w:p>
    <w:p>
      <w:pPr>
        <w:pStyle w:val="ListBullet"/>
      </w:pPr>
      <w:r>
        <w:rPr>
          <w:sz w:val="20"/>
        </w:rPr>
        <w:t>Vendor risk review highlights</w:t>
      </w:r>
    </w:p>
    <w:p>
      <w:pPr>
        <w:pStyle w:val="ListBullet"/>
      </w:pPr>
      <w:r>
        <w:rPr>
          <w:sz w:val="20"/>
        </w:rPr>
        <w:t>Tabletop exercise review and next drill plan</w:t>
      </w:r>
    </w:p>
    <w:p>
      <w:pPr>
        <w:pStyle w:val="ListBullet"/>
      </w:pPr>
      <w:r>
        <w:rPr>
          <w:sz w:val="20"/>
        </w:rPr>
        <w:t>Budget and lifecycle planning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Monthly dashboard reports</w:t>
      </w:r>
    </w:p>
    <w:p>
      <w:pPr>
        <w:pStyle w:val="ListBullet"/>
      </w:pPr>
      <w:r>
        <w:rPr>
          <w:sz w:val="20"/>
        </w:rPr>
        <w:t>Meeting minutes and action items</w:t>
      </w:r>
    </w:p>
    <w:p>
      <w:pPr>
        <w:pStyle w:val="ListBullet"/>
      </w:pPr>
      <w:r>
        <w:rPr>
          <w:sz w:val="20"/>
        </w:rPr>
        <w:t>Quarterly deep-dive notes and decisions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Translate technical metrics into business risk and downtime reduction.</w:t>
      </w:r>
    </w:p>
    <w:p>
      <w:pPr>
        <w:pStyle w:val="ListBullet"/>
      </w:pPr>
      <w:r>
        <w:rPr>
          <w:sz w:val="20"/>
        </w:rPr>
        <w:t>Keep controls from drifting over time with consistent review cadence.</w:t>
      </w:r>
    </w:p>
    <w:p>
      <w:pPr>
        <w:pStyle w:val="ListBullet"/>
      </w:pPr>
      <w:r>
        <w:rPr>
          <w:sz w:val="20"/>
        </w:rPr>
        <w:t>Provide proactive roadmap that aligns to budget and seasons.</w:t>
      </w:r>
    </w:p>
    <w:p>
      <w:pPr>
        <w:pStyle w:val="ListBullet"/>
      </w:pPr>
      <w:r>
        <w:rPr>
          <w:sz w:val="20"/>
        </w:rPr>
        <w:t>Build a documented resilience program suitable for lenders, insurers, and partners.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