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SOP-ST-002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Ticketing and Change Management with the MSP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Keep operations predictable by routing requests through a single system, tracking changes, and avoiding unplanned outages. Create a clear paper trail and faster resolution.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IT support requests (break/fix, access, new devices)</w:t>
      </w:r>
    </w:p>
    <w:p>
      <w:pPr>
        <w:pStyle w:val="ListBullet"/>
      </w:pPr>
      <w:r>
        <w:rPr>
          <w:sz w:val="20"/>
        </w:rPr>
        <w:t>Planned changes (network, POS updates, security policy)</w:t>
      </w:r>
    </w:p>
    <w:p>
      <w:pPr>
        <w:pStyle w:val="ListBullet"/>
      </w:pPr>
      <w:r>
        <w:rPr>
          <w:sz w:val="20"/>
        </w:rPr>
        <w:t>Emergency changes during incidents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All Staff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Submit requests through approved channel.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Approves operational changes and prioritizes requests.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Service Desk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Triages, resolves, and documents work.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Change Approver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Reviews risk for planned changes and schedules maintenance windows.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Ticket submission: as needed</w:t>
      </w:r>
    </w:p>
    <w:p>
      <w:pPr>
        <w:pStyle w:val="ListBullet"/>
      </w:pPr>
      <w:r>
        <w:rPr>
          <w:sz w:val="20"/>
        </w:rPr>
        <w:t>Planned change windows: weekly maintenance window</w:t>
      </w:r>
    </w:p>
    <w:p>
      <w:pPr>
        <w:pStyle w:val="ListBullet"/>
      </w:pPr>
      <w:r>
        <w:rPr>
          <w:sz w:val="20"/>
        </w:rPr>
        <w:t>Change review meeting: monthly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All requests enter via a single ticket channel (portal, email, or QR code) to ensure tracking.</w:t>
      </w:r>
    </w:p>
    <w:p>
      <w:pPr>
        <w:pStyle w:val="ListNumber"/>
      </w:pPr>
      <w:r>
        <w:rPr>
          <w:sz w:val="20"/>
        </w:rPr>
        <w:t>Service desk triages within defined response times and assigns priority based on business impact.</w:t>
      </w:r>
    </w:p>
    <w:p>
      <w:pPr>
        <w:pStyle w:val="ListNumber"/>
      </w:pPr>
      <w:r>
        <w:rPr>
          <w:sz w:val="20"/>
        </w:rPr>
        <w:t>Planned changes require: scope, rollback plan, testing plan, and maintenance window scheduling.</w:t>
      </w:r>
    </w:p>
    <w:p>
      <w:pPr>
        <w:pStyle w:val="ListNumber"/>
      </w:pPr>
      <w:r>
        <w:rPr>
          <w:sz w:val="20"/>
        </w:rPr>
        <w:t>Emergency changes are allowed only to restore service or contain incidents; must be documented within 24 hours.</w:t>
      </w:r>
    </w:p>
    <w:p>
      <w:pPr>
        <w:pStyle w:val="ListNumber"/>
      </w:pPr>
      <w:r>
        <w:rPr>
          <w:sz w:val="20"/>
        </w:rPr>
        <w:t>After each change, perform validation steps and obtain manager confirmation for business-critical systems.</w:t>
      </w:r>
    </w:p>
    <w:p>
      <w:pPr>
        <w:pStyle w:val="ListNumber"/>
      </w:pPr>
      <w:r>
        <w:rPr>
          <w:sz w:val="20"/>
        </w:rPr>
        <w:t>Monthly review identifies recurring issues and preventive projects.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Planned Change Request</w:t>
      </w:r>
    </w:p>
    <w:p>
      <w:pPr>
        <w:pStyle w:val="ListBullet"/>
      </w:pPr>
      <w:r>
        <w:rPr>
          <w:sz w:val="20"/>
        </w:rPr>
        <w:t>Reason and expected outcome documented</w:t>
      </w:r>
    </w:p>
    <w:p>
      <w:pPr>
        <w:pStyle w:val="ListBullet"/>
      </w:pPr>
      <w:r>
        <w:rPr>
          <w:sz w:val="20"/>
        </w:rPr>
        <w:t>Systems impacted identified</w:t>
      </w:r>
    </w:p>
    <w:p>
      <w:pPr>
        <w:pStyle w:val="ListBullet"/>
      </w:pPr>
      <w:r>
        <w:rPr>
          <w:sz w:val="20"/>
        </w:rPr>
        <w:t>Rollback steps documented</w:t>
      </w:r>
    </w:p>
    <w:p>
      <w:pPr>
        <w:pStyle w:val="ListBullet"/>
      </w:pPr>
      <w:r>
        <w:rPr>
          <w:sz w:val="20"/>
        </w:rPr>
        <w:t>Maintenance window agreed</w:t>
      </w:r>
    </w:p>
    <w:p>
      <w:pPr>
        <w:pStyle w:val="ListBullet"/>
      </w:pPr>
      <w:r>
        <w:rPr>
          <w:sz w:val="20"/>
        </w:rPr>
        <w:t>Post-change validation list attached</w:t>
      </w:r>
    </w:p>
    <w:p>
      <w:r>
        <w:rPr>
          <w:b/>
          <w:sz w:val="20"/>
        </w:rPr>
        <w:t>Emergency Change</w:t>
      </w:r>
    </w:p>
    <w:p>
      <w:pPr>
        <w:pStyle w:val="ListBullet"/>
      </w:pPr>
      <w:r>
        <w:rPr>
          <w:sz w:val="20"/>
        </w:rPr>
        <w:t>Contain or restore service first</w:t>
      </w:r>
    </w:p>
    <w:p>
      <w:pPr>
        <w:pStyle w:val="ListBullet"/>
      </w:pPr>
      <w:r>
        <w:rPr>
          <w:sz w:val="20"/>
        </w:rPr>
        <w:t>Capture what was changed and why</w:t>
      </w:r>
    </w:p>
    <w:p>
      <w:pPr>
        <w:pStyle w:val="ListBullet"/>
      </w:pPr>
      <w:r>
        <w:rPr>
          <w:sz w:val="20"/>
        </w:rPr>
        <w:t>Document after-action notes within 24 hours</w:t>
      </w:r>
    </w:p>
    <w:p>
      <w:pPr>
        <w:pStyle w:val="ListBullet"/>
      </w:pPr>
      <w:r>
        <w:rPr>
          <w:sz w:val="20"/>
        </w:rPr>
        <w:t>Schedule follow-up to implement permanent fix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Ticket history with resolution notes</w:t>
      </w:r>
    </w:p>
    <w:p>
      <w:pPr>
        <w:pStyle w:val="ListBullet"/>
      </w:pPr>
      <w:r>
        <w:rPr>
          <w:sz w:val="20"/>
        </w:rPr>
        <w:t>Change records with approvals and rollback plans</w:t>
      </w:r>
    </w:p>
    <w:p>
      <w:pPr>
        <w:pStyle w:val="ListBullet"/>
      </w:pPr>
      <w:r>
        <w:rPr>
          <w:sz w:val="20"/>
        </w:rPr>
        <w:t>Monthly review notes and preventive project list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Provide consistent SLAs, triage, and documentation.</w:t>
      </w:r>
    </w:p>
    <w:p>
      <w:pPr>
        <w:pStyle w:val="ListBullet"/>
      </w:pPr>
      <w:r>
        <w:rPr>
          <w:sz w:val="20"/>
        </w:rPr>
        <w:t>Reduce outages with disciplined change control and maintenance windows.</w:t>
      </w:r>
    </w:p>
    <w:p>
      <w:pPr>
        <w:pStyle w:val="ListBullet"/>
      </w:pPr>
      <w:r>
        <w:rPr>
          <w:sz w:val="20"/>
        </w:rPr>
        <w:t>Surface trends and propose proactive improvements.</w:t>
      </w:r>
    </w:p>
    <w:p>
      <w:pPr>
        <w:pStyle w:val="ListBullet"/>
      </w:pPr>
      <w:r>
        <w:rPr>
          <w:sz w:val="20"/>
        </w:rPr>
        <w:t>Create audit-ready documentation of who changed what and when.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