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SOP-CS-003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Incident Response for Ransomware, POS Compromise, and Account Takeover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Provide a clear playbook for detecting, containing, and recovering from security incidents that could stop sales or expose payment data. Minimize downtime and preserve evidence.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Ransomware or suspected encryption activity</w:t>
      </w:r>
    </w:p>
    <w:p>
      <w:pPr>
        <w:pStyle w:val="ListBullet"/>
      </w:pPr>
      <w:r>
        <w:rPr>
          <w:sz w:val="20"/>
        </w:rPr>
        <w:t>POS anomalies or suspected skimming/malware</w:t>
      </w:r>
    </w:p>
    <w:p>
      <w:pPr>
        <w:pStyle w:val="ListBullet"/>
      </w:pPr>
      <w:r>
        <w:rPr>
          <w:sz w:val="20"/>
        </w:rPr>
        <w:t>Compromised email or admin accounts</w:t>
      </w:r>
    </w:p>
    <w:p>
      <w:pPr>
        <w:pStyle w:val="ListBullet"/>
      </w:pPr>
      <w:r>
        <w:rPr>
          <w:sz w:val="20"/>
        </w:rPr>
        <w:t>Lost or stolen devices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Initiates immediate containment steps and communicates to staff.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Authorizes external notifications and business decisions.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Incident Lead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Runs technical response and coordinates vendors.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POS Vendor and Payment Processor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Assist with PCI, forensics, and required notices.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Tabletop exercise: twice per year</w:t>
      </w:r>
    </w:p>
    <w:p>
      <w:pPr>
        <w:pStyle w:val="ListBullet"/>
      </w:pPr>
      <w:r>
        <w:rPr>
          <w:sz w:val="20"/>
        </w:rPr>
        <w:t>Runbook review: quarterly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Trigger criteria: unusual POS behavior, EDR alert, missing files, ransom note, or suspicious sign-in alerts.</w:t>
      </w:r>
    </w:p>
    <w:p>
      <w:pPr>
        <w:pStyle w:val="ListNumber"/>
      </w:pPr>
      <w:r>
        <w:rPr>
          <w:sz w:val="20"/>
        </w:rPr>
        <w:t>Immediate actions: isolate impacted device from network (unplug ethernet, disable Wi-Fi), do not power off unless instructed by MSP.</w:t>
      </w:r>
    </w:p>
    <w:p>
      <w:pPr>
        <w:pStyle w:val="ListNumber"/>
      </w:pPr>
      <w:r>
        <w:rPr>
          <w:sz w:val="20"/>
        </w:rPr>
        <w:t>Start an incident ticket and record timeline, impacted systems, and first observed symptoms.</w:t>
      </w:r>
    </w:p>
    <w:p>
      <w:pPr>
        <w:pStyle w:val="ListNumber"/>
      </w:pPr>
      <w:r>
        <w:rPr>
          <w:sz w:val="20"/>
        </w:rPr>
        <w:t>MSP validates scope using EDR, logs, and network telemetry; identifies patient zero and lateral movement attempts.</w:t>
      </w:r>
    </w:p>
    <w:p>
      <w:pPr>
        <w:pStyle w:val="ListNumber"/>
      </w:pPr>
      <w:r>
        <w:rPr>
          <w:sz w:val="20"/>
        </w:rPr>
        <w:t>Containment: block indicators, disable compromised accounts, and segment or shut down affected VLANs if needed to protect POS.</w:t>
      </w:r>
    </w:p>
    <w:p>
      <w:pPr>
        <w:pStyle w:val="ListNumber"/>
      </w:pPr>
      <w:r>
        <w:rPr>
          <w:sz w:val="20"/>
        </w:rPr>
        <w:t>Recovery: restore from known-good backups, rebuild endpoints to standard image, and validate POS payment flow.</w:t>
      </w:r>
    </w:p>
    <w:p>
      <w:pPr>
        <w:pStyle w:val="ListNumber"/>
      </w:pPr>
      <w:r>
        <w:rPr>
          <w:sz w:val="20"/>
        </w:rPr>
        <w:t>Evidence: preserve logs, device images if required by payment processor, and keep notes for compliance.</w:t>
      </w:r>
    </w:p>
    <w:p>
      <w:pPr>
        <w:pStyle w:val="ListNumber"/>
      </w:pPr>
      <w:r>
        <w:rPr>
          <w:sz w:val="20"/>
        </w:rPr>
        <w:t>Post-incident: lessons learned, control improvements, and updated training.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On-Site Containment</w:t>
      </w:r>
    </w:p>
    <w:p>
      <w:pPr>
        <w:pStyle w:val="ListBullet"/>
      </w:pPr>
      <w:r>
        <w:rPr>
          <w:sz w:val="20"/>
        </w:rPr>
        <w:t>Disconnect affected device from network</w:t>
      </w:r>
    </w:p>
    <w:p>
      <w:pPr>
        <w:pStyle w:val="ListBullet"/>
      </w:pPr>
      <w:r>
        <w:rPr>
          <w:sz w:val="20"/>
        </w:rPr>
        <w:t>Switch to manual order process if needed</w:t>
      </w:r>
    </w:p>
    <w:p>
      <w:pPr>
        <w:pStyle w:val="ListBullet"/>
      </w:pPr>
      <w:r>
        <w:rPr>
          <w:sz w:val="20"/>
        </w:rPr>
        <w:t>Notify MSP incident hotline</w:t>
      </w:r>
    </w:p>
    <w:p>
      <w:pPr>
        <w:pStyle w:val="ListBullet"/>
      </w:pPr>
      <w:r>
        <w:rPr>
          <w:sz w:val="20"/>
        </w:rPr>
        <w:t>Preserve notes: who, what, when, any screenshots</w:t>
      </w:r>
    </w:p>
    <w:p>
      <w:r>
        <w:rPr>
          <w:b/>
          <w:sz w:val="20"/>
        </w:rPr>
        <w:t>Technical Response</w:t>
      </w:r>
    </w:p>
    <w:p>
      <w:pPr>
        <w:pStyle w:val="ListBullet"/>
      </w:pPr>
      <w:r>
        <w:rPr>
          <w:sz w:val="20"/>
        </w:rPr>
        <w:t>Confirm incident type and scope</w:t>
      </w:r>
    </w:p>
    <w:p>
      <w:pPr>
        <w:pStyle w:val="ListBullet"/>
      </w:pPr>
      <w:r>
        <w:rPr>
          <w:sz w:val="20"/>
        </w:rPr>
        <w:t>Disable compromised accounts and revoke sessions</w:t>
      </w:r>
    </w:p>
    <w:p>
      <w:pPr>
        <w:pStyle w:val="ListBullet"/>
      </w:pPr>
      <w:r>
        <w:rPr>
          <w:sz w:val="20"/>
        </w:rPr>
        <w:t>Hunt for related indicators on endpoints</w:t>
      </w:r>
    </w:p>
    <w:p>
      <w:pPr>
        <w:pStyle w:val="ListBullet"/>
      </w:pPr>
      <w:r>
        <w:rPr>
          <w:sz w:val="20"/>
        </w:rPr>
        <w:t>Restore or rebuild impacted systems</w:t>
      </w:r>
    </w:p>
    <w:p>
      <w:pPr>
        <w:pStyle w:val="ListBullet"/>
      </w:pPr>
      <w:r>
        <w:rPr>
          <w:sz w:val="20"/>
        </w:rPr>
        <w:t>Validate business operations (sales, accounting, email)</w:t>
      </w:r>
    </w:p>
    <w:p>
      <w:pPr>
        <w:pStyle w:val="ListBullet"/>
      </w:pPr>
      <w:r>
        <w:rPr>
          <w:sz w:val="20"/>
        </w:rPr>
        <w:t>Document report and remediation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Incident tickets and timeline notes</w:t>
      </w:r>
    </w:p>
    <w:p>
      <w:pPr>
        <w:pStyle w:val="ListBullet"/>
      </w:pPr>
      <w:r>
        <w:rPr>
          <w:sz w:val="20"/>
        </w:rPr>
        <w:t>EDR reports and containment actions</w:t>
      </w:r>
    </w:p>
    <w:p>
      <w:pPr>
        <w:pStyle w:val="ListBullet"/>
      </w:pPr>
      <w:r>
        <w:rPr>
          <w:sz w:val="20"/>
        </w:rPr>
        <w:t>Backup restore evidence</w:t>
      </w:r>
    </w:p>
    <w:p>
      <w:pPr>
        <w:pStyle w:val="ListBullet"/>
      </w:pPr>
      <w:r>
        <w:rPr>
          <w:sz w:val="20"/>
        </w:rPr>
        <w:t>Post-incident report and action plan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Provide 24/7 incident hotline and structured response leadership.</w:t>
      </w:r>
    </w:p>
    <w:p>
      <w:pPr>
        <w:pStyle w:val="ListBullet"/>
      </w:pPr>
      <w:r>
        <w:rPr>
          <w:sz w:val="20"/>
        </w:rPr>
        <w:t>Use EDR and logging to identify scope quickly and prevent spread.</w:t>
      </w:r>
    </w:p>
    <w:p>
      <w:pPr>
        <w:pStyle w:val="ListBullet"/>
      </w:pPr>
      <w:r>
        <w:rPr>
          <w:sz w:val="20"/>
        </w:rPr>
        <w:t>Coordinate POS vendor and payment processor requirements.</w:t>
      </w:r>
    </w:p>
    <w:p>
      <w:pPr>
        <w:pStyle w:val="ListBullet"/>
      </w:pPr>
      <w:r>
        <w:rPr>
          <w:sz w:val="20"/>
        </w:rPr>
        <w:t>Run recovery and hardening so the business returns to service faster.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