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04"/>
        <w:gridCol w:w="8208"/>
      </w:tblGrid>
      <w:tr>
        <w:tc>
          <w:tcPr>
            <w:tcW w:type="dxa" w:w="5100"/>
            <w:vAlign w:val="top"/>
          </w:tcPr>
          <w:p>
            <w:pPr>
              <w:jc w:val="left"/>
            </w:pPr>
            <w:r>
              <w:drawing>
                <wp:inline xmlns:a="http://schemas.openxmlformats.org/drawingml/2006/main" xmlns:pic="http://schemas.openxmlformats.org/drawingml/2006/picture">
                  <wp:extent cx="1371600" cy="457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central-perk-logo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457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5100"/>
            <w:vAlign w:val="top"/>
          </w:tcPr>
          <w:p>
            <w:pPr>
              <w:jc w:val="left"/>
            </w:pPr>
            <w:r>
              <w:rPr>
                <w:rFonts w:ascii="Calibri" w:hAnsi="Calibri"/>
                <w:b/>
                <w:color w:val="187A5C"/>
                <w:sz w:val="28"/>
              </w:rPr>
              <w:t>Central Perk Cafe</w:t>
              <w:br/>
            </w:r>
            <w:r>
              <w:rPr>
                <w:rFonts w:ascii="Calibri" w:hAnsi="Calibri"/>
                <w:sz w:val="20"/>
              </w:rPr>
              <w:t>123 Bean Street, Fort Collins, CO 80524</w:t>
              <w:br/>
            </w:r>
            <w:r>
              <w:rPr>
                <w:rFonts w:ascii="Calibri" w:hAnsi="Calibri"/>
                <w:sz w:val="20"/>
              </w:rPr>
              <w:t>Phone: (970) 555-0112  |  Email: ops@centralperk.example  |  Web: centralperk.example</w:t>
              <w:br/>
            </w:r>
            <w:r>
              <w:rPr>
                <w:rFonts w:ascii="Calibri" w:hAnsi="Calibri"/>
                <w:sz w:val="20"/>
              </w:rPr>
              <w:t>Document: SOP-CS-002  |  Version: 1.0  |  Effective: 2026-01-15  |  Owner: Operations Manager</w:t>
            </w:r>
          </w:p>
        </w:tc>
      </w:tr>
    </w:tbl>
    <w:p/>
    <w:p>
      <w:pPr>
        <w:pStyle w:val="Title"/>
        <w:jc w:val="left"/>
      </w:pPr>
      <w:r>
        <w:rPr>
          <w:rFonts w:ascii="Calibri" w:hAnsi="Calibri"/>
          <w:color w:val="187A5C"/>
          <w:sz w:val="40"/>
        </w:rPr>
        <w:t>Email Security and Phishing Response</w:t>
      </w:r>
    </w:p>
    <w:p>
      <w:pPr>
        <w:pStyle w:val="Heading2"/>
      </w:pPr>
      <w:r>
        <w:rPr>
          <w:rFonts w:ascii="Calibri" w:hAnsi="Calibri"/>
          <w:color w:val="5C3E30"/>
        </w:rPr>
        <w:t>Purpose</w:t>
      </w:r>
    </w:p>
    <w:p>
      <w:r>
        <w:rPr>
          <w:sz w:val="20"/>
        </w:rPr>
        <w:t>Reduce the likelihood and impact of phishing by hardening email controls and providing a simple, fast response process for staff. Focus on early reporting and rapid containment.</w:t>
      </w:r>
    </w:p>
    <w:p>
      <w:pPr>
        <w:pStyle w:val="Heading2"/>
      </w:pPr>
      <w:r>
        <w:rPr>
          <w:rFonts w:ascii="Calibri" w:hAnsi="Calibri"/>
          <w:color w:val="5C3E30"/>
        </w:rPr>
        <w:t>Scope</w:t>
      </w:r>
    </w:p>
    <w:p>
      <w:pPr>
        <w:pStyle w:val="ListBullet"/>
      </w:pPr>
      <w:r>
        <w:rPr>
          <w:sz w:val="20"/>
        </w:rPr>
        <w:t>Inbound email filtering and attachment controls</w:t>
      </w:r>
    </w:p>
    <w:p>
      <w:pPr>
        <w:pStyle w:val="ListBullet"/>
      </w:pPr>
      <w:r>
        <w:rPr>
          <w:sz w:val="20"/>
        </w:rPr>
        <w:t>Staff training and simulated phishing (optional)</w:t>
      </w:r>
    </w:p>
    <w:p>
      <w:pPr>
        <w:pStyle w:val="ListBullet"/>
      </w:pPr>
      <w:r>
        <w:rPr>
          <w:sz w:val="20"/>
        </w:rPr>
        <w:t>Reporting and response workflow for suspicious messages</w:t>
      </w:r>
    </w:p>
    <w:p>
      <w:pPr>
        <w:pStyle w:val="ListBullet"/>
      </w:pPr>
      <w:r>
        <w:rPr>
          <w:sz w:val="20"/>
        </w:rPr>
        <w:t>Business email compromise containment steps</w:t>
      </w:r>
    </w:p>
    <w:p>
      <w:pPr>
        <w:pStyle w:val="Heading2"/>
      </w:pPr>
      <w:r>
        <w:rPr>
          <w:rFonts w:ascii="Calibri" w:hAnsi="Calibri"/>
          <w:color w:val="5C3E30"/>
        </w:rPr>
        <w:t>Roles and Responsibilities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3168"/>
        <w:gridCol w:w="7344"/>
      </w:tblGrid>
      <w:tr>
        <w:tc>
          <w:tcPr>
            <w:tcW w:type="dxa" w:w="5100"/>
            <w:vAlign w:val="top"/>
          </w:tcPr>
          <w:p>
            <w:r>
              <w:rPr>
                <w:b/>
                <w:sz w:val="20"/>
              </w:rPr>
              <w:t>Store Manager</w:t>
            </w:r>
          </w:p>
        </w:tc>
        <w:tc>
          <w:tcPr>
            <w:tcW w:type="dxa" w:w="5100"/>
            <w:vAlign w:val="top"/>
          </w:tcPr>
          <w:p>
            <w:r>
              <w:rPr>
                <w:sz w:val="20"/>
              </w:rPr>
              <w:t>Ensures staff know how to report suspicious messages.</w:t>
            </w:r>
          </w:p>
        </w:tc>
      </w:tr>
      <w:tr>
        <w:tc>
          <w:tcPr>
            <w:tcW w:type="dxa" w:w="5100"/>
            <w:vAlign w:val="top"/>
          </w:tcPr>
          <w:p>
            <w:r>
              <w:rPr>
                <w:b/>
                <w:sz w:val="20"/>
              </w:rPr>
              <w:t>All Staff</w:t>
            </w:r>
          </w:p>
        </w:tc>
        <w:tc>
          <w:tcPr>
            <w:tcW w:type="dxa" w:w="5100"/>
            <w:vAlign w:val="top"/>
          </w:tcPr>
          <w:p>
            <w:r>
              <w:rPr>
                <w:sz w:val="20"/>
              </w:rPr>
              <w:t>Report suspicious email and avoid interacting with unknown links or attachments.</w:t>
            </w:r>
          </w:p>
        </w:tc>
      </w:tr>
      <w:tr>
        <w:tc>
          <w:tcPr>
            <w:tcW w:type="dxa" w:w="5100"/>
            <w:vAlign w:val="top"/>
          </w:tcPr>
          <w:p>
            <w:r>
              <w:rPr>
                <w:b/>
                <w:sz w:val="20"/>
              </w:rPr>
              <w:t>MSP Security Operations</w:t>
            </w:r>
          </w:p>
        </w:tc>
        <w:tc>
          <w:tcPr>
            <w:tcW w:type="dxa" w:w="5100"/>
            <w:vAlign w:val="top"/>
          </w:tcPr>
          <w:p>
            <w:r>
              <w:rPr>
                <w:sz w:val="20"/>
              </w:rPr>
              <w:t>Triage reported messages and run containment actions.</w:t>
            </w:r>
          </w:p>
        </w:tc>
      </w:tr>
      <w:tr>
        <w:tc>
          <w:tcPr>
            <w:tcW w:type="dxa" w:w="5100"/>
            <w:vAlign w:val="top"/>
          </w:tcPr>
          <w:p>
            <w:r>
              <w:rPr>
                <w:b/>
                <w:sz w:val="20"/>
              </w:rPr>
              <w:t>Operations Manager</w:t>
            </w:r>
          </w:p>
        </w:tc>
        <w:tc>
          <w:tcPr>
            <w:tcW w:type="dxa" w:w="5100"/>
            <w:vAlign w:val="top"/>
          </w:tcPr>
          <w:p>
            <w:r>
              <w:rPr>
                <w:sz w:val="20"/>
              </w:rPr>
              <w:t>Approves customer or vendor notifications if needed.</w:t>
            </w:r>
          </w:p>
        </w:tc>
      </w:tr>
    </w:tbl>
    <w:p/>
    <w:p>
      <w:pPr>
        <w:pStyle w:val="Heading2"/>
      </w:pPr>
      <w:r>
        <w:rPr>
          <w:rFonts w:ascii="Calibri" w:hAnsi="Calibri"/>
          <w:color w:val="5C3E30"/>
        </w:rPr>
        <w:t>Frequency</w:t>
      </w:r>
    </w:p>
    <w:p>
      <w:pPr>
        <w:pStyle w:val="ListBullet"/>
      </w:pPr>
      <w:r>
        <w:rPr>
          <w:sz w:val="20"/>
        </w:rPr>
        <w:t>Filtering policies: reviewed quarterly</w:t>
      </w:r>
    </w:p>
    <w:p>
      <w:pPr>
        <w:pStyle w:val="ListBullet"/>
      </w:pPr>
      <w:r>
        <w:rPr>
          <w:sz w:val="20"/>
        </w:rPr>
        <w:t>Training: at hire and annually</w:t>
      </w:r>
    </w:p>
    <w:p>
      <w:pPr>
        <w:pStyle w:val="ListBullet"/>
      </w:pPr>
      <w:r>
        <w:rPr>
          <w:sz w:val="20"/>
        </w:rPr>
        <w:t>Phishing simulations: quarterly (optional)</w:t>
      </w:r>
    </w:p>
    <w:p>
      <w:pPr>
        <w:pStyle w:val="Heading2"/>
      </w:pPr>
      <w:r>
        <w:rPr>
          <w:rFonts w:ascii="Calibri" w:hAnsi="Calibri"/>
          <w:color w:val="5C3E30"/>
        </w:rPr>
        <w:t>Procedure</w:t>
      </w:r>
    </w:p>
    <w:p>
      <w:pPr>
        <w:pStyle w:val="ListNumber"/>
      </w:pPr>
      <w:r>
        <w:rPr>
          <w:sz w:val="20"/>
        </w:rPr>
        <w:t>Configure email authentication (SPF, DKIM, DMARC) for the business domain.</w:t>
      </w:r>
    </w:p>
    <w:p>
      <w:pPr>
        <w:pStyle w:val="ListNumber"/>
      </w:pPr>
      <w:r>
        <w:rPr>
          <w:sz w:val="20"/>
        </w:rPr>
        <w:t>Enable anti-phishing and anti-malware policies: link scanning, attachment sandboxing where available, and block high-risk file types.</w:t>
      </w:r>
    </w:p>
    <w:p>
      <w:pPr>
        <w:pStyle w:val="ListNumber"/>
      </w:pPr>
      <w:r>
        <w:rPr>
          <w:sz w:val="20"/>
        </w:rPr>
        <w:t>Tag external senders clearly and quarantine messages that fail authentication checks.</w:t>
      </w:r>
    </w:p>
    <w:p>
      <w:pPr>
        <w:pStyle w:val="ListNumber"/>
      </w:pPr>
      <w:r>
        <w:rPr>
          <w:sz w:val="20"/>
        </w:rPr>
        <w:t>Provide a one-click report method (add-in or forwarding address) for suspicious email.</w:t>
      </w:r>
    </w:p>
    <w:p>
      <w:pPr>
        <w:pStyle w:val="ListNumber"/>
      </w:pPr>
      <w:r>
        <w:rPr>
          <w:sz w:val="20"/>
        </w:rPr>
        <w:t>Upon report, MSP triages: determine if malicious, identify recipients, and remove related messages from mailboxes.</w:t>
      </w:r>
    </w:p>
    <w:p>
      <w:pPr>
        <w:pStyle w:val="ListNumber"/>
      </w:pPr>
      <w:r>
        <w:rPr>
          <w:sz w:val="20"/>
        </w:rPr>
        <w:t>If credentials may be compromised: force password reset, revoke sessions, check forwarding rules, and review recent sign-ins.</w:t>
      </w:r>
    </w:p>
    <w:p>
      <w:pPr>
        <w:pStyle w:val="ListNumber"/>
      </w:pPr>
      <w:r>
        <w:rPr>
          <w:sz w:val="20"/>
        </w:rPr>
        <w:t>If payment or vendor change request was acted on: initiate payment recall, contact vendor via known number, and document the incident.</w:t>
      </w:r>
    </w:p>
    <w:p>
      <w:pPr>
        <w:pStyle w:val="ListNumber"/>
      </w:pPr>
      <w:r>
        <w:rPr>
          <w:sz w:val="20"/>
        </w:rPr>
        <w:t>Capture incident notes and update training examples with sanitized screenshots.</w:t>
      </w:r>
    </w:p>
    <w:p>
      <w:pPr>
        <w:pStyle w:val="Heading2"/>
      </w:pPr>
      <w:r>
        <w:rPr>
          <w:rFonts w:ascii="Calibri" w:hAnsi="Calibri"/>
          <w:color w:val="5C3E30"/>
        </w:rPr>
        <w:t>Checklists</w:t>
      </w:r>
    </w:p>
    <w:p>
      <w:r>
        <w:rPr>
          <w:b/>
          <w:sz w:val="20"/>
        </w:rPr>
        <w:t>Staff Quick Actions</w:t>
      </w:r>
    </w:p>
    <w:p>
      <w:pPr>
        <w:pStyle w:val="ListBullet"/>
      </w:pPr>
      <w:r>
        <w:rPr>
          <w:sz w:val="20"/>
        </w:rPr>
        <w:t>Do not click links or open attachments</w:t>
      </w:r>
    </w:p>
    <w:p>
      <w:pPr>
        <w:pStyle w:val="ListBullet"/>
      </w:pPr>
      <w:r>
        <w:rPr>
          <w:sz w:val="20"/>
        </w:rPr>
        <w:t>Use the report button or forward to phishing@centralperk.example</w:t>
      </w:r>
    </w:p>
    <w:p>
      <w:pPr>
        <w:pStyle w:val="ListBullet"/>
      </w:pPr>
      <w:r>
        <w:rPr>
          <w:sz w:val="20"/>
        </w:rPr>
        <w:t>Call the manager if the message requests money, gift cards, or bank changes</w:t>
      </w:r>
    </w:p>
    <w:p>
      <w:pPr>
        <w:pStyle w:val="ListBullet"/>
      </w:pPr>
      <w:r>
        <w:rPr>
          <w:sz w:val="20"/>
        </w:rPr>
        <w:t>If you clicked, tell the manager immediately</w:t>
      </w:r>
    </w:p>
    <w:p>
      <w:r>
        <w:rPr>
          <w:b/>
          <w:sz w:val="20"/>
        </w:rPr>
        <w:t>MSP Containment</w:t>
      </w:r>
    </w:p>
    <w:p>
      <w:pPr>
        <w:pStyle w:val="ListBullet"/>
      </w:pPr>
      <w:r>
        <w:rPr>
          <w:sz w:val="20"/>
        </w:rPr>
        <w:t>Search and purge malicious message across mailboxes</w:t>
      </w:r>
    </w:p>
    <w:p>
      <w:pPr>
        <w:pStyle w:val="ListBullet"/>
      </w:pPr>
      <w:r>
        <w:rPr>
          <w:sz w:val="20"/>
        </w:rPr>
        <w:t>Reset impacted user credentials and revoke sessions</w:t>
      </w:r>
    </w:p>
    <w:p>
      <w:pPr>
        <w:pStyle w:val="ListBullet"/>
      </w:pPr>
      <w:r>
        <w:rPr>
          <w:sz w:val="20"/>
        </w:rPr>
        <w:t>Check mailbox rules, delegates, and OAuth app grants</w:t>
      </w:r>
    </w:p>
    <w:p>
      <w:pPr>
        <w:pStyle w:val="ListBullet"/>
      </w:pPr>
      <w:r>
        <w:rPr>
          <w:sz w:val="20"/>
        </w:rPr>
        <w:t>Review sign-in logs for suspicious IPs and impossible travel</w:t>
      </w:r>
    </w:p>
    <w:p>
      <w:pPr>
        <w:pStyle w:val="ListBullet"/>
      </w:pPr>
      <w:r>
        <w:rPr>
          <w:sz w:val="20"/>
        </w:rPr>
        <w:t>Document findings and remediation</w:t>
      </w:r>
    </w:p>
    <w:p>
      <w:pPr>
        <w:pStyle w:val="Heading2"/>
      </w:pPr>
      <w:r>
        <w:rPr>
          <w:rFonts w:ascii="Calibri" w:hAnsi="Calibri"/>
          <w:color w:val="5C3E30"/>
        </w:rPr>
        <w:t>Records and Evidence</w:t>
      </w:r>
    </w:p>
    <w:p>
      <w:pPr>
        <w:pStyle w:val="ListBullet"/>
      </w:pPr>
      <w:r>
        <w:rPr>
          <w:sz w:val="20"/>
        </w:rPr>
        <w:t>Email security policy settings export or screenshots</w:t>
      </w:r>
    </w:p>
    <w:p>
      <w:pPr>
        <w:pStyle w:val="ListBullet"/>
      </w:pPr>
      <w:r>
        <w:rPr>
          <w:sz w:val="20"/>
        </w:rPr>
        <w:t>Reported phishing tickets and outcomes</w:t>
      </w:r>
    </w:p>
    <w:p>
      <w:pPr>
        <w:pStyle w:val="ListBullet"/>
      </w:pPr>
      <w:r>
        <w:rPr>
          <w:sz w:val="20"/>
        </w:rPr>
        <w:t>Training completion logs</w:t>
      </w:r>
    </w:p>
    <w:p>
      <w:pPr>
        <w:pStyle w:val="ListBullet"/>
      </w:pPr>
      <w:r>
        <w:rPr>
          <w:sz w:val="20"/>
        </w:rPr>
        <w:t>Incident summaries for major events</w:t>
      </w:r>
    </w:p>
    <w:p>
      <w:pPr>
        <w:pStyle w:val="Heading2"/>
      </w:pPr>
      <w:r>
        <w:rPr>
          <w:rFonts w:ascii="Calibri" w:hAnsi="Calibri"/>
          <w:color w:val="5C3E30"/>
        </w:rPr>
        <w:t>MSP Value</w:t>
      </w:r>
    </w:p>
    <w:p>
      <w:pPr>
        <w:pStyle w:val="ListBullet"/>
      </w:pPr>
      <w:r>
        <w:rPr>
          <w:sz w:val="20"/>
        </w:rPr>
        <w:t>Tune filtering to reduce false positives while stopping common attacks.</w:t>
      </w:r>
    </w:p>
    <w:p>
      <w:pPr>
        <w:pStyle w:val="ListBullet"/>
      </w:pPr>
      <w:r>
        <w:rPr>
          <w:sz w:val="20"/>
        </w:rPr>
        <w:t>Provide fast triage and purge capability to remove malicious email at scale.</w:t>
      </w:r>
    </w:p>
    <w:p>
      <w:pPr>
        <w:pStyle w:val="ListBullet"/>
      </w:pPr>
      <w:r>
        <w:rPr>
          <w:sz w:val="20"/>
        </w:rPr>
        <w:t>Monitor sign-in risk and automate containment steps.</w:t>
      </w:r>
    </w:p>
    <w:p>
      <w:pPr>
        <w:pStyle w:val="ListBullet"/>
      </w:pPr>
      <w:r>
        <w:rPr>
          <w:sz w:val="20"/>
        </w:rPr>
        <w:t>Run targeted training and measure improvement over time.</w:t>
      </w:r>
    </w:p>
    <w:p>
      <w:pPr>
        <w:pStyle w:val="Heading2"/>
      </w:pPr>
      <w:r>
        <w:rPr>
          <w:rFonts w:ascii="Calibri" w:hAnsi="Calibri"/>
          <w:color w:val="5C3E30"/>
        </w:rPr>
        <w:t>Revision History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0"/>
        <w:gridCol w:w="2550"/>
        <w:gridCol w:w="2550"/>
        <w:gridCol w:w="2550"/>
      </w:tblGrid>
      <w:tr>
        <w:tc>
          <w:tcPr>
            <w:tcW w:type="dxa" w:w="2550"/>
          </w:tcPr>
          <w:p>
            <w:r>
              <w:rPr>
                <w:b/>
              </w:rPr>
              <w:t>Version</w:t>
            </w:r>
          </w:p>
        </w:tc>
        <w:tc>
          <w:tcPr>
            <w:tcW w:type="dxa" w:w="2550"/>
          </w:tcPr>
          <w:p>
            <w:r>
              <w:rPr>
                <w:b/>
              </w:rPr>
              <w:t>Date</w:t>
            </w:r>
          </w:p>
        </w:tc>
        <w:tc>
          <w:tcPr>
            <w:tcW w:type="dxa" w:w="2550"/>
          </w:tcPr>
          <w:p>
            <w:r>
              <w:rPr>
                <w:b/>
              </w:rPr>
              <w:t>Author</w:t>
            </w:r>
          </w:p>
        </w:tc>
        <w:tc>
          <w:tcPr>
            <w:tcW w:type="dxa" w:w="2550"/>
          </w:tcPr>
          <w:p>
            <w:r>
              <w:rPr>
                <w:b/>
              </w:rPr>
              <w:t>Summary of Changes</w:t>
            </w:r>
          </w:p>
        </w:tc>
      </w:tr>
      <w:tr>
        <w:tc>
          <w:tcPr>
            <w:tcW w:type="dxa" w:w="2550"/>
          </w:tcPr>
          <w:p>
            <w:r>
              <w:t>1.0</w:t>
            </w:r>
          </w:p>
        </w:tc>
        <w:tc>
          <w:tcPr>
            <w:tcW w:type="dxa" w:w="2550"/>
          </w:tcPr>
          <w:p>
            <w:r>
              <w:t>2026-01-15</w:t>
            </w:r>
          </w:p>
        </w:tc>
        <w:tc>
          <w:tcPr>
            <w:tcW w:type="dxa" w:w="2550"/>
          </w:tcPr>
          <w:p>
            <w:r>
              <w:t>Central Perk Ops</w:t>
            </w:r>
          </w:p>
        </w:tc>
        <w:tc>
          <w:tcPr>
            <w:tcW w:type="dxa" w:w="2550"/>
          </w:tcPr>
          <w:p>
            <w:r>
              <w:t>Initial release</w:t>
            </w:r>
          </w:p>
        </w:tc>
      </w:tr>
    </w:tbl>
    <w:p/>
    <w:sectPr w:rsidR="00FC693F" w:rsidRPr="0006063C" w:rsidSect="00034616">
      <w:footerReference w:type="default" r:id="rId10"/>
      <w:pgSz w:w="12240" w:h="15840"/>
      <w:pgMar w:top="850" w:right="1020" w:bottom="85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5A5A5A"/>
        <w:sz w:val="18"/>
      </w:rPr>
      <w:t>Central Perk Cafe | Internal SOP | Controlled document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