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04"/>
        <w:gridCol w:w="8208"/>
      </w:tblGrid>
      <w:tr>
        <w:tc>
          <w:tcPr>
            <w:tcW w:type="dxa" w:w="5100"/>
            <w:vAlign w:val="top"/>
          </w:tcPr>
          <w:p>
            <w:pPr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371600" cy="457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central-perk-logo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457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5100"/>
            <w:vAlign w:val="top"/>
          </w:tcPr>
          <w:p>
            <w:pPr>
              <w:jc w:val="left"/>
            </w:pPr>
            <w:r>
              <w:rPr>
                <w:rFonts w:ascii="Calibri" w:hAnsi="Calibri"/>
                <w:b/>
                <w:color w:val="187A5C"/>
                <w:sz w:val="28"/>
              </w:rPr>
              <w:t>Central Perk Cafe</w:t>
              <w:br/>
            </w:r>
            <w:r>
              <w:rPr>
                <w:rFonts w:ascii="Calibri" w:hAnsi="Calibri"/>
                <w:sz w:val="20"/>
              </w:rPr>
              <w:t>123 Bean Street, Fort Collins, CO 80524</w:t>
              <w:br/>
            </w:r>
            <w:r>
              <w:rPr>
                <w:rFonts w:ascii="Calibri" w:hAnsi="Calibri"/>
                <w:sz w:val="20"/>
              </w:rPr>
              <w:t>Phone: (970) 555-0112  |  Email: ops@centralperk.example  |  Web: centralperk.example</w:t>
              <w:br/>
            </w:r>
            <w:r>
              <w:rPr>
                <w:rFonts w:ascii="Calibri" w:hAnsi="Calibri"/>
                <w:sz w:val="20"/>
              </w:rPr>
              <w:t>Document: SOP-CO-003  |  Version: 1.0  |  Effective: 2026-01-15  |  Owner: Operations Manager</w:t>
            </w:r>
          </w:p>
        </w:tc>
      </w:tr>
    </w:tbl>
    <w:p/>
    <w:p>
      <w:pPr>
        <w:pStyle w:val="Title"/>
        <w:jc w:val="left"/>
      </w:pPr>
      <w:r>
        <w:rPr>
          <w:rFonts w:ascii="Calibri" w:hAnsi="Calibri"/>
          <w:color w:val="187A5C"/>
          <w:sz w:val="40"/>
        </w:rPr>
        <w:t>Vendor Risk Management for POS, Delivery Apps, and IT Providers</w:t>
      </w:r>
    </w:p>
    <w:p>
      <w:pPr>
        <w:pStyle w:val="Heading2"/>
      </w:pPr>
      <w:r>
        <w:rPr>
          <w:rFonts w:ascii="Calibri" w:hAnsi="Calibri"/>
          <w:color w:val="5C3E30"/>
        </w:rPr>
        <w:t>Purpose</w:t>
      </w:r>
    </w:p>
    <w:p>
      <w:r>
        <w:rPr>
          <w:sz w:val="20"/>
        </w:rPr>
        <w:t>Evaluate and monitor vendors that touch systems or data. Prevent surprises by confirming responsibilities, security expectations, and exit plans.</w:t>
      </w:r>
    </w:p>
    <w:p>
      <w:pPr>
        <w:pStyle w:val="Heading2"/>
      </w:pPr>
      <w:r>
        <w:rPr>
          <w:rFonts w:ascii="Calibri" w:hAnsi="Calibri"/>
          <w:color w:val="5C3E30"/>
        </w:rPr>
        <w:t>Scope</w:t>
      </w:r>
    </w:p>
    <w:p>
      <w:pPr>
        <w:pStyle w:val="ListBullet"/>
      </w:pPr>
      <w:r>
        <w:rPr>
          <w:sz w:val="20"/>
        </w:rPr>
        <w:t>POS vendor and payment processor</w:t>
      </w:r>
    </w:p>
    <w:p>
      <w:pPr>
        <w:pStyle w:val="ListBullet"/>
      </w:pPr>
      <w:r>
        <w:rPr>
          <w:sz w:val="20"/>
        </w:rPr>
        <w:t>Delivery and ordering platforms</w:t>
      </w:r>
    </w:p>
    <w:p>
      <w:pPr>
        <w:pStyle w:val="ListBullet"/>
      </w:pPr>
      <w:r>
        <w:rPr>
          <w:sz w:val="20"/>
        </w:rPr>
        <w:t>Accounting, payroll, and scheduling platforms</w:t>
      </w:r>
    </w:p>
    <w:p>
      <w:pPr>
        <w:pStyle w:val="ListBullet"/>
      </w:pPr>
      <w:r>
        <w:rPr>
          <w:sz w:val="20"/>
        </w:rPr>
        <w:t>IT and cybersecurity providers</w:t>
      </w:r>
    </w:p>
    <w:p>
      <w:pPr>
        <w:pStyle w:val="Heading2"/>
      </w:pPr>
      <w:r>
        <w:rPr>
          <w:rFonts w:ascii="Calibri" w:hAnsi="Calibri"/>
          <w:color w:val="5C3E30"/>
        </w:rPr>
        <w:t>Roles and Responsibilities</w:t>
      </w:r>
    </w:p>
    <w:tbl>
      <w:tblPr>
        <w:tblW w:type="auto" w:w="0"/>
        <w:jc w:val="left"/>
        <w:tblLayout w:type="fixed"/>
        <w:tblLook w:firstColumn="1" w:firstRow="1" w:lastColumn="0" w:lastRow="0" w:noHBand="0" w:noVBand="1" w:val="04A0"/>
      </w:tblPr>
      <w:tblGrid>
        <w:gridCol w:w="3168"/>
        <w:gridCol w:w="7344"/>
      </w:tblGrid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Operations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Owns vendor approvals and contract sign-off.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MSP Compliance Coordinator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Maintains vendor inventory and evidence.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Store Manager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Reports operational issues and vendor performance concerns.</w:t>
            </w:r>
          </w:p>
        </w:tc>
      </w:tr>
      <w:tr>
        <w:tc>
          <w:tcPr>
            <w:tcW w:type="dxa" w:w="5100"/>
            <w:vAlign w:val="top"/>
          </w:tcPr>
          <w:p>
            <w:r>
              <w:rPr>
                <w:b/>
                <w:sz w:val="20"/>
              </w:rPr>
              <w:t>Legal/Finance Advisor</w:t>
            </w:r>
          </w:p>
        </w:tc>
        <w:tc>
          <w:tcPr>
            <w:tcW w:type="dxa" w:w="5100"/>
            <w:vAlign w:val="top"/>
          </w:tcPr>
          <w:p>
            <w:r>
              <w:rPr>
                <w:sz w:val="20"/>
              </w:rPr>
              <w:t>Reviews contractual risk for critical vendors when needed.</w:t>
            </w:r>
          </w:p>
        </w:tc>
      </w:tr>
    </w:tbl>
    <w:p/>
    <w:p>
      <w:pPr>
        <w:pStyle w:val="Heading2"/>
      </w:pPr>
      <w:r>
        <w:rPr>
          <w:rFonts w:ascii="Calibri" w:hAnsi="Calibri"/>
          <w:color w:val="5C3E30"/>
        </w:rPr>
        <w:t>Frequency</w:t>
      </w:r>
    </w:p>
    <w:p>
      <w:pPr>
        <w:pStyle w:val="ListBullet"/>
      </w:pPr>
      <w:r>
        <w:rPr>
          <w:sz w:val="20"/>
        </w:rPr>
        <w:t>Vendor review: annually for critical vendors; every two years for others</w:t>
      </w:r>
    </w:p>
    <w:p>
      <w:pPr>
        <w:pStyle w:val="ListBullet"/>
      </w:pPr>
      <w:r>
        <w:rPr>
          <w:sz w:val="20"/>
        </w:rPr>
        <w:t>New vendor onboarding: before purchase or integration</w:t>
      </w:r>
    </w:p>
    <w:p>
      <w:pPr>
        <w:pStyle w:val="ListBullet"/>
      </w:pPr>
      <w:r>
        <w:rPr>
          <w:sz w:val="20"/>
        </w:rPr>
        <w:t>Contract renewal review: at least 30 days before renewal</w:t>
      </w:r>
    </w:p>
    <w:p>
      <w:pPr>
        <w:pStyle w:val="Heading2"/>
      </w:pPr>
      <w:r>
        <w:rPr>
          <w:rFonts w:ascii="Calibri" w:hAnsi="Calibri"/>
          <w:color w:val="5C3E30"/>
        </w:rPr>
        <w:t>Procedure</w:t>
      </w:r>
    </w:p>
    <w:p>
      <w:pPr>
        <w:pStyle w:val="ListNumber"/>
      </w:pPr>
      <w:r>
        <w:rPr>
          <w:sz w:val="20"/>
        </w:rPr>
        <w:t>Maintain a vendor inventory with data access level and business criticality rating.</w:t>
      </w:r>
    </w:p>
    <w:p>
      <w:pPr>
        <w:pStyle w:val="ListNumber"/>
      </w:pPr>
      <w:r>
        <w:rPr>
          <w:sz w:val="20"/>
        </w:rPr>
        <w:t>For new critical vendors, collect security evidence: SOC 2 or equivalent, PCI responsibilities, MFA support, and breach notification terms.</w:t>
      </w:r>
    </w:p>
    <w:p>
      <w:pPr>
        <w:pStyle w:val="ListNumber"/>
      </w:pPr>
      <w:r>
        <w:rPr>
          <w:sz w:val="20"/>
        </w:rPr>
        <w:t>Confirm access methods: named accounts, MFA, least privilege, and logging.</w:t>
      </w:r>
    </w:p>
    <w:p>
      <w:pPr>
        <w:pStyle w:val="ListNumber"/>
      </w:pPr>
      <w:r>
        <w:rPr>
          <w:sz w:val="20"/>
        </w:rPr>
        <w:t>Document integrations and data flows, including any API tokens and where they are stored.</w:t>
      </w:r>
    </w:p>
    <w:p>
      <w:pPr>
        <w:pStyle w:val="ListNumber"/>
      </w:pPr>
      <w:r>
        <w:rPr>
          <w:sz w:val="20"/>
        </w:rPr>
        <w:t>Define exit plan for each critical vendor: data export method, replacement timeline, and credential revocation steps.</w:t>
      </w:r>
    </w:p>
    <w:p>
      <w:pPr>
        <w:pStyle w:val="ListNumber"/>
      </w:pPr>
      <w:r>
        <w:rPr>
          <w:sz w:val="20"/>
        </w:rPr>
        <w:t>Perform annual review of critical vendors: incidents, uptime, contract changes, and support responsiveness.</w:t>
      </w:r>
    </w:p>
    <w:p>
      <w:pPr>
        <w:pStyle w:val="ListNumber"/>
      </w:pPr>
      <w:r>
        <w:rPr>
          <w:sz w:val="20"/>
        </w:rPr>
        <w:t>Track findings and remediation requests; escalate unresolved risks to leadership.</w:t>
      </w:r>
    </w:p>
    <w:p>
      <w:pPr>
        <w:pStyle w:val="Heading2"/>
      </w:pPr>
      <w:r>
        <w:rPr>
          <w:rFonts w:ascii="Calibri" w:hAnsi="Calibri"/>
          <w:color w:val="5C3E30"/>
        </w:rPr>
        <w:t>Checklists</w:t>
      </w:r>
    </w:p>
    <w:p>
      <w:r>
        <w:rPr>
          <w:b/>
          <w:sz w:val="20"/>
        </w:rPr>
        <w:t>New Critical Vendor Intake</w:t>
      </w:r>
    </w:p>
    <w:p>
      <w:pPr>
        <w:pStyle w:val="ListBullet"/>
      </w:pPr>
      <w:r>
        <w:rPr>
          <w:sz w:val="20"/>
        </w:rPr>
        <w:t>Vendor inventory record created</w:t>
      </w:r>
    </w:p>
    <w:p>
      <w:pPr>
        <w:pStyle w:val="ListBullet"/>
      </w:pPr>
      <w:r>
        <w:rPr>
          <w:sz w:val="20"/>
        </w:rPr>
        <w:t>Security evidence collected and stored</w:t>
      </w:r>
    </w:p>
    <w:p>
      <w:pPr>
        <w:pStyle w:val="ListBullet"/>
      </w:pPr>
      <w:r>
        <w:rPr>
          <w:sz w:val="20"/>
        </w:rPr>
        <w:t>Access and MFA requirements confirmed</w:t>
      </w:r>
    </w:p>
    <w:p>
      <w:pPr>
        <w:pStyle w:val="ListBullet"/>
      </w:pPr>
      <w:r>
        <w:rPr>
          <w:sz w:val="20"/>
        </w:rPr>
        <w:t>Breach notification clause reviewed</w:t>
      </w:r>
    </w:p>
    <w:p>
      <w:pPr>
        <w:pStyle w:val="ListBullet"/>
      </w:pPr>
      <w:r>
        <w:rPr>
          <w:sz w:val="20"/>
        </w:rPr>
        <w:t>Exit plan documented</w:t>
      </w:r>
    </w:p>
    <w:p>
      <w:r>
        <w:rPr>
          <w:b/>
          <w:sz w:val="20"/>
        </w:rPr>
        <w:t>Annual Review</w:t>
      </w:r>
    </w:p>
    <w:p>
      <w:pPr>
        <w:pStyle w:val="ListBullet"/>
      </w:pPr>
      <w:r>
        <w:rPr>
          <w:sz w:val="20"/>
        </w:rPr>
        <w:t>Confirm vendor contacts and escalation paths</w:t>
      </w:r>
    </w:p>
    <w:p>
      <w:pPr>
        <w:pStyle w:val="ListBullet"/>
      </w:pPr>
      <w:r>
        <w:rPr>
          <w:sz w:val="20"/>
        </w:rPr>
        <w:t>Review incidents and support history</w:t>
      </w:r>
    </w:p>
    <w:p>
      <w:pPr>
        <w:pStyle w:val="ListBullet"/>
      </w:pPr>
      <w:r>
        <w:rPr>
          <w:sz w:val="20"/>
        </w:rPr>
        <w:t>Review integrations and tokens</w:t>
      </w:r>
    </w:p>
    <w:p>
      <w:pPr>
        <w:pStyle w:val="ListBullet"/>
      </w:pPr>
      <w:r>
        <w:rPr>
          <w:sz w:val="20"/>
        </w:rPr>
        <w:t>Confirm renewals and pricing changes</w:t>
      </w:r>
    </w:p>
    <w:p>
      <w:pPr>
        <w:pStyle w:val="ListBullet"/>
      </w:pPr>
      <w:r>
        <w:rPr>
          <w:sz w:val="20"/>
        </w:rPr>
        <w:t>Document accept, mitigate, or replace decision</w:t>
      </w:r>
    </w:p>
    <w:p>
      <w:pPr>
        <w:pStyle w:val="Heading2"/>
      </w:pPr>
      <w:r>
        <w:rPr>
          <w:rFonts w:ascii="Calibri" w:hAnsi="Calibri"/>
          <w:color w:val="5C3E30"/>
        </w:rPr>
        <w:t>Records and Evidence</w:t>
      </w:r>
    </w:p>
    <w:p>
      <w:pPr>
        <w:pStyle w:val="ListBullet"/>
      </w:pPr>
      <w:r>
        <w:rPr>
          <w:sz w:val="20"/>
        </w:rPr>
        <w:t>Vendor inventory and criticality ratings</w:t>
      </w:r>
    </w:p>
    <w:p>
      <w:pPr>
        <w:pStyle w:val="ListBullet"/>
      </w:pPr>
      <w:r>
        <w:rPr>
          <w:sz w:val="20"/>
        </w:rPr>
        <w:t>Evidence folder (SOC reports, attestations, contract clauses)</w:t>
      </w:r>
    </w:p>
    <w:p>
      <w:pPr>
        <w:pStyle w:val="ListBullet"/>
      </w:pPr>
      <w:r>
        <w:rPr>
          <w:sz w:val="20"/>
        </w:rPr>
        <w:t>Integration and token inventory</w:t>
      </w:r>
    </w:p>
    <w:p>
      <w:pPr>
        <w:pStyle w:val="ListBullet"/>
      </w:pPr>
      <w:r>
        <w:rPr>
          <w:sz w:val="20"/>
        </w:rPr>
        <w:t>Annual review notes and decisions</w:t>
      </w:r>
    </w:p>
    <w:p>
      <w:pPr>
        <w:pStyle w:val="Heading2"/>
      </w:pPr>
      <w:r>
        <w:rPr>
          <w:rFonts w:ascii="Calibri" w:hAnsi="Calibri"/>
          <w:color w:val="5C3E30"/>
        </w:rPr>
        <w:t>MSP Value</w:t>
      </w:r>
    </w:p>
    <w:p>
      <w:pPr>
        <w:pStyle w:val="ListBullet"/>
      </w:pPr>
      <w:r>
        <w:rPr>
          <w:sz w:val="20"/>
        </w:rPr>
        <w:t>Run a lightweight vendor governance process tailored to small business realities.</w:t>
      </w:r>
    </w:p>
    <w:p>
      <w:pPr>
        <w:pStyle w:val="ListBullet"/>
      </w:pPr>
      <w:r>
        <w:rPr>
          <w:sz w:val="20"/>
        </w:rPr>
        <w:t>Identify hidden risks in integrations and shared credentials.</w:t>
      </w:r>
    </w:p>
    <w:p>
      <w:pPr>
        <w:pStyle w:val="ListBullet"/>
      </w:pPr>
      <w:r>
        <w:rPr>
          <w:sz w:val="20"/>
        </w:rPr>
        <w:t>Ensure vendors align to payment and privacy expectations.</w:t>
      </w:r>
    </w:p>
    <w:p>
      <w:pPr>
        <w:pStyle w:val="ListBullet"/>
      </w:pPr>
      <w:r>
        <w:rPr>
          <w:sz w:val="20"/>
        </w:rPr>
        <w:t>Keep exit options documented to reduce lock-in.</w:t>
      </w:r>
    </w:p>
    <w:p>
      <w:pPr>
        <w:pStyle w:val="Heading2"/>
      </w:pPr>
      <w:r>
        <w:rPr>
          <w:rFonts w:ascii="Calibri" w:hAnsi="Calibri"/>
          <w:color w:val="5C3E30"/>
        </w:rPr>
        <w:t>Revision History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</w:rPr>
              <w:t>Version</w:t>
            </w:r>
          </w:p>
        </w:tc>
        <w:tc>
          <w:tcPr>
            <w:tcW w:type="dxa" w:w="2550"/>
          </w:tcPr>
          <w:p>
            <w:r>
              <w:rPr>
                <w:b/>
              </w:rPr>
              <w:t>Date</w:t>
            </w:r>
          </w:p>
        </w:tc>
        <w:tc>
          <w:tcPr>
            <w:tcW w:type="dxa" w:w="2550"/>
          </w:tcPr>
          <w:p>
            <w:r>
              <w:rPr>
                <w:b/>
              </w:rPr>
              <w:t>Author</w:t>
            </w:r>
          </w:p>
        </w:tc>
        <w:tc>
          <w:tcPr>
            <w:tcW w:type="dxa" w:w="2550"/>
          </w:tcPr>
          <w:p>
            <w:r>
              <w:rPr>
                <w:b/>
              </w:rPr>
              <w:t>Summary of Changes</w:t>
            </w:r>
          </w:p>
        </w:tc>
      </w:tr>
      <w:tr>
        <w:tc>
          <w:tcPr>
            <w:tcW w:type="dxa" w:w="2550"/>
          </w:tcPr>
          <w:p>
            <w:r>
              <w:t>1.0</w:t>
            </w:r>
          </w:p>
        </w:tc>
        <w:tc>
          <w:tcPr>
            <w:tcW w:type="dxa" w:w="2550"/>
          </w:tcPr>
          <w:p>
            <w:r>
              <w:t>2026-01-15</w:t>
            </w:r>
          </w:p>
        </w:tc>
        <w:tc>
          <w:tcPr>
            <w:tcW w:type="dxa" w:w="2550"/>
          </w:tcPr>
          <w:p>
            <w:r>
              <w:t>Central Perk Ops</w:t>
            </w:r>
          </w:p>
        </w:tc>
        <w:tc>
          <w:tcPr>
            <w:tcW w:type="dxa" w:w="2550"/>
          </w:tcPr>
          <w:p>
            <w:r>
              <w:t>Initial release</w:t>
            </w:r>
          </w:p>
        </w:tc>
      </w:tr>
    </w:tbl>
    <w:p/>
    <w:sectPr w:rsidR="00FC693F" w:rsidRPr="0006063C" w:rsidSect="00034616">
      <w:footerReference w:type="default" r:id="rId10"/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8"/>
      </w:rPr>
      <w:t>Central Perk Cafe | Internal SOP | Controlled document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