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SOP-CO-002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Data Retention and Privacy for Customer and Employee Information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Define how long data is kept, where it is stored, who can access it, and how it is disposed of. Reduce liability while keeping required business records.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Customer contact data (loyalty list, catering inquiries)</w:t>
      </w:r>
    </w:p>
    <w:p>
      <w:pPr>
        <w:pStyle w:val="ListBullet"/>
      </w:pPr>
      <w:r>
        <w:rPr>
          <w:sz w:val="20"/>
        </w:rPr>
        <w:t>Employee records (HR, payroll, schedules)</w:t>
      </w:r>
    </w:p>
    <w:p>
      <w:pPr>
        <w:pStyle w:val="ListBullet"/>
      </w:pPr>
      <w:r>
        <w:rPr>
          <w:sz w:val="20"/>
        </w:rPr>
        <w:t>Security camera footage</w:t>
      </w:r>
    </w:p>
    <w:p>
      <w:pPr>
        <w:pStyle w:val="ListBullet"/>
      </w:pPr>
      <w:r>
        <w:rPr>
          <w:sz w:val="20"/>
        </w:rPr>
        <w:t>Guest Wi-Fi portals and logs (if used)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retention schedule and privacy notices.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HR/Payroll Lead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Maintains employee records and access restrictions.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Security Administrator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Implements storage controls and secure disposal.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Ensures paper documents are stored and shredded appropriately.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Retention schedule review: annually</w:t>
      </w:r>
    </w:p>
    <w:p>
      <w:pPr>
        <w:pStyle w:val="ListBullet"/>
      </w:pPr>
      <w:r>
        <w:rPr>
          <w:sz w:val="20"/>
        </w:rPr>
        <w:t>Secure disposal: monthly or as needed</w:t>
      </w:r>
    </w:p>
    <w:p>
      <w:pPr>
        <w:pStyle w:val="ListBullet"/>
      </w:pPr>
      <w:r>
        <w:rPr>
          <w:sz w:val="20"/>
        </w:rPr>
        <w:t>Access review for sensitive data: quarterly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Maintain a data map: what data is collected, where it lives, and why it is needed.</w:t>
      </w:r>
    </w:p>
    <w:p>
      <w:pPr>
        <w:pStyle w:val="ListNumber"/>
      </w:pPr>
      <w:r>
        <w:rPr>
          <w:sz w:val="20"/>
        </w:rPr>
        <w:t>Define retention schedule by data type, aligned to tax and employment obligations.</w:t>
      </w:r>
    </w:p>
    <w:p>
      <w:pPr>
        <w:pStyle w:val="ListNumber"/>
      </w:pPr>
      <w:r>
        <w:rPr>
          <w:sz w:val="20"/>
        </w:rPr>
        <w:t>Limit access to sensitive data to named roles; prohibit storing sensitive data in personal email or devices.</w:t>
      </w:r>
    </w:p>
    <w:p>
      <w:pPr>
        <w:pStyle w:val="ListNumber"/>
      </w:pPr>
      <w:r>
        <w:rPr>
          <w:sz w:val="20"/>
        </w:rPr>
        <w:t>Use encrypted storage for HR and finance records; require MFA for access.</w:t>
      </w:r>
    </w:p>
    <w:p>
      <w:pPr>
        <w:pStyle w:val="ListNumber"/>
      </w:pPr>
      <w:r>
        <w:rPr>
          <w:sz w:val="20"/>
        </w:rPr>
        <w:t>Configure camera retention to minimum needed for security and operations; restrict remote access.</w:t>
      </w:r>
    </w:p>
    <w:p>
      <w:pPr>
        <w:pStyle w:val="ListNumber"/>
      </w:pPr>
      <w:r>
        <w:rPr>
          <w:sz w:val="20"/>
        </w:rPr>
        <w:t>Dispose of data securely: shred paper, securely delete digital files, and wipe storage media before disposal.</w:t>
      </w:r>
    </w:p>
    <w:p>
      <w:pPr>
        <w:pStyle w:val="ListNumber"/>
      </w:pPr>
      <w:r>
        <w:rPr>
          <w:sz w:val="20"/>
        </w:rPr>
        <w:t>Publish a simple privacy notice describing what is collected and how to request deletion where applicable.</w:t>
      </w:r>
    </w:p>
    <w:p>
      <w:pPr>
        <w:pStyle w:val="ListNumber"/>
      </w:pPr>
      <w:r>
        <w:rPr>
          <w:sz w:val="20"/>
        </w:rPr>
        <w:t>Document exceptions and legal holds when required.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Monthly Disposal Run</w:t>
      </w:r>
    </w:p>
    <w:p>
      <w:pPr>
        <w:pStyle w:val="ListBullet"/>
      </w:pPr>
      <w:r>
        <w:rPr>
          <w:sz w:val="20"/>
        </w:rPr>
        <w:t>Identify records past retention period</w:t>
      </w:r>
    </w:p>
    <w:p>
      <w:pPr>
        <w:pStyle w:val="ListBullet"/>
      </w:pPr>
      <w:r>
        <w:rPr>
          <w:sz w:val="20"/>
        </w:rPr>
        <w:t>Shred paper using cross-cut shredder or secure shred service</w:t>
      </w:r>
    </w:p>
    <w:p>
      <w:pPr>
        <w:pStyle w:val="ListBullet"/>
      </w:pPr>
      <w:r>
        <w:rPr>
          <w:sz w:val="20"/>
        </w:rPr>
        <w:t>Delete digital files from primary and recycle bins</w:t>
      </w:r>
    </w:p>
    <w:p>
      <w:pPr>
        <w:pStyle w:val="ListBullet"/>
      </w:pPr>
      <w:r>
        <w:rPr>
          <w:sz w:val="20"/>
        </w:rPr>
        <w:t>Verify backups will age out per policy</w:t>
      </w:r>
    </w:p>
    <w:p>
      <w:r>
        <w:rPr>
          <w:b/>
          <w:sz w:val="20"/>
        </w:rPr>
        <w:t>Quarterly Access Review</w:t>
      </w:r>
    </w:p>
    <w:p>
      <w:pPr>
        <w:pStyle w:val="ListBullet"/>
      </w:pPr>
      <w:r>
        <w:rPr>
          <w:sz w:val="20"/>
        </w:rPr>
        <w:t>Review who can access HR folder and payroll system</w:t>
      </w:r>
    </w:p>
    <w:p>
      <w:pPr>
        <w:pStyle w:val="ListBullet"/>
      </w:pPr>
      <w:r>
        <w:rPr>
          <w:sz w:val="20"/>
        </w:rPr>
        <w:t>Review shared drive permissions for customer lists</w:t>
      </w:r>
    </w:p>
    <w:p>
      <w:pPr>
        <w:pStyle w:val="ListBullet"/>
      </w:pPr>
      <w:r>
        <w:rPr>
          <w:sz w:val="20"/>
        </w:rPr>
        <w:t>Review camera system accounts and remote access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Data map and retention schedule</w:t>
      </w:r>
    </w:p>
    <w:p>
      <w:pPr>
        <w:pStyle w:val="ListBullet"/>
      </w:pPr>
      <w:r>
        <w:rPr>
          <w:sz w:val="20"/>
        </w:rPr>
        <w:t>Access review sign-off</w:t>
      </w:r>
    </w:p>
    <w:p>
      <w:pPr>
        <w:pStyle w:val="ListBullet"/>
      </w:pPr>
      <w:r>
        <w:rPr>
          <w:sz w:val="20"/>
        </w:rPr>
        <w:t>Shred or disposal receipts (if used)</w:t>
      </w:r>
    </w:p>
    <w:p>
      <w:pPr>
        <w:pStyle w:val="ListBullet"/>
      </w:pPr>
      <w:r>
        <w:rPr>
          <w:sz w:val="20"/>
        </w:rPr>
        <w:t>Privacy notice and change log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Implement secure storage and access controls with audit trails.</w:t>
      </w:r>
    </w:p>
    <w:p>
      <w:pPr>
        <w:pStyle w:val="ListBullet"/>
      </w:pPr>
      <w:r>
        <w:rPr>
          <w:sz w:val="20"/>
        </w:rPr>
        <w:t>Provide retention automation and permission hygiene.</w:t>
      </w:r>
    </w:p>
    <w:p>
      <w:pPr>
        <w:pStyle w:val="ListBullet"/>
      </w:pPr>
      <w:r>
        <w:rPr>
          <w:sz w:val="20"/>
        </w:rPr>
        <w:t>Reduce breach exposure by minimizing unnecessary data collection and retention.</w:t>
      </w:r>
    </w:p>
    <w:p>
      <w:pPr>
        <w:pStyle w:val="ListBullet"/>
      </w:pPr>
      <w:r>
        <w:rPr>
          <w:sz w:val="20"/>
        </w:rPr>
        <w:t>Support customer deletion requests with defined workflow and evidence.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